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58"/>
        <w:ind/>
        <w:jc w:val="center"/>
        <w:rPr>
          <w:rStyle w:val="Style_2_ch"/>
          <w:rFonts w:ascii="Circe" w:hAnsi="Circe"/>
          <w:sz w:val="24"/>
        </w:rPr>
      </w:pPr>
      <w:r>
        <w:rPr>
          <w:rStyle w:val="Style_2_ch"/>
          <w:rFonts w:ascii="Circe" w:hAnsi="Circe"/>
          <w:sz w:val="24"/>
        </w:rPr>
        <w:t xml:space="preserve">ПРОГРАММА ИНФОРМАЦИОННОГО СЕМИНАРА </w:t>
      </w:r>
    </w:p>
    <w:p w14:paraId="02000000">
      <w:pPr>
        <w:pStyle w:val="Style_3"/>
        <w:spacing w:after="0" w:before="0" w:line="288" w:lineRule="auto"/>
        <w:ind/>
        <w:rPr>
          <w:rFonts w:ascii="Georgia" w:hAnsi="Georgia"/>
          <w:b w:val="1"/>
        </w:rPr>
      </w:pPr>
    </w:p>
    <w:p w14:paraId="03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>«АНАЛИЗ</w:t>
      </w:r>
      <w:r>
        <w:rPr>
          <w:rFonts w:ascii="Circe" w:hAnsi="Circe"/>
          <w:b w:val="1"/>
        </w:rPr>
        <w:t xml:space="preserve"> ПОЛОЖЕНИЙ</w:t>
      </w:r>
      <w:r>
        <w:rPr>
          <w:rFonts w:ascii="Circe" w:hAnsi="Circe"/>
          <w:b w:val="1"/>
        </w:rPr>
        <w:t xml:space="preserve"> </w:t>
      </w:r>
      <w:r>
        <w:rPr>
          <w:rFonts w:ascii="Circe" w:hAnsi="Circe"/>
          <w:b w:val="1"/>
        </w:rPr>
        <w:t>ФЕДЕРАЛЬНОГО ЗАКОНА №44-ФЗ</w:t>
      </w:r>
      <w:r>
        <w:rPr>
          <w:rFonts w:ascii="Circe" w:hAnsi="Circe"/>
          <w:b w:val="1"/>
        </w:rPr>
        <w:t xml:space="preserve">, </w:t>
      </w:r>
    </w:p>
    <w:p w14:paraId="04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>ВСТУПИВШИХ В СИЛУ В 20</w:t>
      </w:r>
      <w:r>
        <w:rPr>
          <w:rFonts w:ascii="Circe" w:hAnsi="Circe"/>
          <w:b w:val="1"/>
        </w:rPr>
        <w:t>24</w:t>
      </w:r>
      <w:r>
        <w:rPr>
          <w:rFonts w:ascii="Circe" w:hAnsi="Circe"/>
          <w:b w:val="1"/>
        </w:rPr>
        <w:t>-202</w:t>
      </w:r>
      <w:r>
        <w:rPr>
          <w:rFonts w:ascii="Circe" w:hAnsi="Circe"/>
          <w:b w:val="1"/>
        </w:rPr>
        <w:t>5</w:t>
      </w:r>
      <w:r>
        <w:rPr>
          <w:rFonts w:ascii="Circe" w:hAnsi="Circe"/>
          <w:b w:val="1"/>
        </w:rPr>
        <w:t xml:space="preserve"> ГОДАХ.</w:t>
      </w:r>
      <w:r>
        <w:rPr>
          <w:rFonts w:ascii="Circe" w:hAnsi="Circe"/>
          <w:b w:val="1"/>
        </w:rPr>
        <w:t xml:space="preserve"> ПРАКТИКА УЧАСТИЯ В ЗАКУПОЧНЫХ ПРОЦЕДУРАХ ПОСТАВЩИКОВ»</w:t>
      </w:r>
      <w:r>
        <w:rPr>
          <w:rFonts w:ascii="Circe" w:hAnsi="Circe"/>
          <w:b w:val="1"/>
        </w:rPr>
        <w:t xml:space="preserve"> </w:t>
      </w:r>
    </w:p>
    <w:p w14:paraId="05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</w:p>
    <w:p w14:paraId="06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Style w:val="Style_2_ch"/>
        </w:rPr>
      </w:pPr>
      <w:r>
        <w:rPr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7979410</wp:posOffset>
                </wp:positionH>
                <wp:positionV relativeFrom="paragraph">
                  <wp:posOffset>19050</wp:posOffset>
                </wp:positionV>
                <wp:extent cx="1552575" cy="3619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52575" cy="3619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/>
                        <a:fillRef idx="1">
                          <a:schemeClr val="lt1"/>
                        </a:fillRef>
                        <a:effectRef idx="0"/>
                        <a:fontRef idx="none"/>
                      </wps:style>
                      <wps:txbx>
                        <w:txbxContent>
                          <w:p w14:paraId="07000000">
                            <w:pPr>
                              <w:pStyle w:val="Style_5"/>
                              <w:ind/>
                              <w:jc w:val="center"/>
                              <w:rPr>
                                <w:rFonts w:ascii="Circe" w:hAnsi="Circe"/>
                                <w:b w:val="1"/>
                                <w:color w:themeColor="dark1" w:val="000000"/>
                              </w:rPr>
                            </w:pPr>
                            <w:r>
                              <w:rPr>
                                <w:rFonts w:ascii="Circe" w:hAnsi="Circe"/>
                                <w:b w:val="1"/>
                                <w:color w:themeColor="dark1" w:val="000000"/>
                              </w:rPr>
                              <w:t>МОДУЛЬ 5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p w14:paraId="09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p w14:paraId="0A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tbl>
      <w:tblPr>
        <w:tblStyle w:val="Style_6"/>
        <w:tblInd w:type="dxa" w:w="-74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8506"/>
        <w:gridCol w:w="7796"/>
      </w:tblGrid>
      <w:tr>
        <w:tc>
          <w:tcPr>
            <w:tcW w:type="dxa" w:w="850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B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Организатор семинара:</w:t>
            </w:r>
          </w:p>
          <w:p w14:paraId="0C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</w:p>
          <w:p w14:paraId="0D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ООО «Специализированная организация-</w:t>
            </w:r>
          </w:p>
          <w:p w14:paraId="0E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АСТ-Консалтинг»</w:t>
            </w:r>
          </w:p>
          <w:p w14:paraId="0F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Fonts w:ascii="Circe" w:hAnsi="Circe"/>
              </w:rPr>
              <w:drawing>
                <wp:inline>
                  <wp:extent cx="1905000" cy="885192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905000" cy="88519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0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</w:p>
          <w:p w14:paraId="11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  <w:r>
              <w:rPr>
                <w:rStyle w:val="Style_2_ch"/>
                <w:rFonts w:ascii="Circe" w:hAnsi="Circe"/>
                <w:b w:val="0"/>
                <w:sz w:val="24"/>
              </w:rPr>
              <w:t>тел</w:t>
            </w:r>
            <w:r>
              <w:rPr>
                <w:rStyle w:val="Style_2_ch"/>
                <w:rFonts w:ascii="Circe" w:hAnsi="Circe"/>
                <w:b w:val="0"/>
                <w:sz w:val="24"/>
              </w:rPr>
              <w:t xml:space="preserve">.: </w:t>
            </w:r>
            <w:r>
              <w:rPr>
                <w:rStyle w:val="Style_2_ch"/>
                <w:rFonts w:ascii="Circe" w:hAnsi="Circe"/>
                <w:sz w:val="24"/>
              </w:rPr>
              <w:t>8 800 100 45 60</w:t>
            </w:r>
          </w:p>
          <w:p w14:paraId="12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  <w:r>
              <w:rPr>
                <w:rStyle w:val="Style_2_ch"/>
                <w:rFonts w:ascii="Circe" w:hAnsi="Circe"/>
                <w:b w:val="0"/>
                <w:sz w:val="24"/>
              </w:rPr>
              <w:t xml:space="preserve">e-mail: </w:t>
            </w:r>
            <w:r>
              <w:rPr>
                <w:rStyle w:val="Style_7_ch"/>
                <w:rFonts w:ascii="Circe" w:hAnsi="Circe"/>
              </w:rPr>
              <w:fldChar w:fldCharType="begin"/>
            </w:r>
            <w:r>
              <w:rPr>
                <w:rStyle w:val="Style_7_ch"/>
                <w:rFonts w:ascii="Circe" w:hAnsi="Circe"/>
              </w:rPr>
              <w:instrText>HYPERLINK "mailto:info@ast-consulting.ru"</w:instrText>
            </w:r>
            <w:r>
              <w:rPr>
                <w:rStyle w:val="Style_7_ch"/>
                <w:rFonts w:ascii="Circe" w:hAnsi="Circe"/>
              </w:rPr>
              <w:fldChar w:fldCharType="separate"/>
            </w:r>
            <w:r>
              <w:rPr>
                <w:rStyle w:val="Style_7_ch"/>
                <w:rFonts w:ascii="Circe" w:hAnsi="Circe"/>
              </w:rPr>
              <w:t>info@ast-consulting.ru</w:t>
            </w:r>
            <w:r>
              <w:rPr>
                <w:rStyle w:val="Style_7_ch"/>
                <w:rFonts w:ascii="Circe" w:hAnsi="Circe"/>
              </w:rPr>
              <w:fldChar w:fldCharType="end"/>
            </w:r>
          </w:p>
          <w:p w14:paraId="13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Georgia" w:hAnsi="Georgia"/>
                <w:b w:val="0"/>
                <w:color w:val="0000FF"/>
                <w:sz w:val="24"/>
                <w:u w:val="single"/>
              </w:rPr>
            </w:pPr>
            <w:r>
              <w:rPr>
                <w:rStyle w:val="Style_7_ch"/>
                <w:rFonts w:ascii="Circe" w:hAnsi="Circe"/>
              </w:rPr>
              <w:fldChar w:fldCharType="begin"/>
            </w:r>
            <w:r>
              <w:rPr>
                <w:rStyle w:val="Style_7_ch"/>
                <w:rFonts w:ascii="Circe" w:hAnsi="Circe"/>
              </w:rPr>
              <w:instrText>HYPERLINK "http://www.ast-consulting.ru"</w:instrText>
            </w:r>
            <w:r>
              <w:rPr>
                <w:rStyle w:val="Style_7_ch"/>
                <w:rFonts w:ascii="Circe" w:hAnsi="Circe"/>
              </w:rPr>
              <w:fldChar w:fldCharType="separate"/>
            </w:r>
            <w:r>
              <w:rPr>
                <w:rStyle w:val="Style_7_ch"/>
                <w:rFonts w:ascii="Circe" w:hAnsi="Circe"/>
              </w:rPr>
              <w:t>www</w:t>
            </w:r>
            <w:r>
              <w:rPr>
                <w:rStyle w:val="Style_7_ch"/>
                <w:rFonts w:ascii="Circe" w:hAnsi="Circe"/>
              </w:rPr>
              <w:t>.</w:t>
            </w:r>
            <w:r>
              <w:rPr>
                <w:rStyle w:val="Style_7_ch"/>
                <w:rFonts w:ascii="Circe" w:hAnsi="Circe"/>
              </w:rPr>
              <w:t>ast</w:t>
            </w:r>
            <w:r>
              <w:rPr>
                <w:rStyle w:val="Style_7_ch"/>
                <w:rFonts w:ascii="Circe" w:hAnsi="Circe"/>
              </w:rPr>
              <w:t>-</w:t>
            </w:r>
            <w:r>
              <w:rPr>
                <w:rStyle w:val="Style_7_ch"/>
                <w:rFonts w:ascii="Circe" w:hAnsi="Circe"/>
              </w:rPr>
              <w:t>consulting</w:t>
            </w:r>
            <w:r>
              <w:rPr>
                <w:rStyle w:val="Style_7_ch"/>
                <w:rFonts w:ascii="Circe" w:hAnsi="Circe"/>
              </w:rPr>
              <w:t>.</w:t>
            </w:r>
            <w:r>
              <w:rPr>
                <w:rStyle w:val="Style_7_ch"/>
                <w:rFonts w:ascii="Circe" w:hAnsi="Circe"/>
              </w:rPr>
              <w:t>ru</w:t>
            </w:r>
            <w:r>
              <w:rPr>
                <w:rStyle w:val="Style_7_ch"/>
                <w:rFonts w:ascii="Circe" w:hAnsi="Circe"/>
              </w:rPr>
              <w:fldChar w:fldCharType="end"/>
            </w:r>
          </w:p>
        </w:tc>
        <w:tc>
          <w:tcPr>
            <w:tcW w:type="dxa" w:w="77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4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Лектор семинара:</w:t>
            </w:r>
          </w:p>
          <w:p w14:paraId="15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</w:p>
          <w:p w14:paraId="16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Макаренков Олег Павлович</w:t>
            </w:r>
          </w:p>
          <w:p w14:paraId="17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Fonts w:ascii="Circe" w:hAnsi="Circe"/>
              </w:rPr>
              <w:t>Руководитель Фе</w:t>
            </w:r>
            <w:r>
              <w:rPr>
                <w:rFonts w:ascii="Circe" w:hAnsi="Circe"/>
              </w:rPr>
              <w:t>дерального учебного центра «</w:t>
            </w:r>
            <w:r>
              <w:rPr>
                <w:rFonts w:ascii="Circe" w:hAnsi="Circe"/>
              </w:rPr>
              <w:t>СО-</w:t>
            </w:r>
            <w:r>
              <w:rPr>
                <w:rFonts w:ascii="Circe" w:hAnsi="Circe"/>
              </w:rPr>
              <w:t>АСТ-</w:t>
            </w:r>
            <w:r>
              <w:rPr>
                <w:rFonts w:ascii="Circe" w:hAnsi="Circe"/>
              </w:rPr>
              <w:t>Консалтинг»,</w:t>
            </w:r>
          </w:p>
          <w:p w14:paraId="18000000">
            <w:pPr>
              <w:pStyle w:val="Style_8"/>
              <w:widowControl w:val="1"/>
              <w:spacing w:line="240" w:lineRule="auto"/>
              <w:ind/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 xml:space="preserve">специалист в области  государственного и муниципального заказа, аккредитованный лектор </w:t>
            </w:r>
            <w:r>
              <w:rPr>
                <w:rFonts w:ascii="Circe" w:hAnsi="Circe"/>
              </w:rPr>
              <w:t>ЭП,</w:t>
            </w:r>
          </w:p>
          <w:p w14:paraId="19000000">
            <w:pPr>
              <w:pStyle w:val="Style_8"/>
              <w:widowControl w:val="1"/>
              <w:spacing w:line="240" w:lineRule="auto"/>
              <w:ind/>
              <w:jc w:val="center"/>
              <w:rPr>
                <w:rStyle w:val="Style_2_ch"/>
                <w:b w:val="0"/>
                <w:sz w:val="23"/>
              </w:rPr>
            </w:pPr>
            <w:r>
              <w:rPr>
                <w:rFonts w:ascii="Circe" w:hAnsi="Circe"/>
              </w:rPr>
              <w:t>кандидат экономических наук</w:t>
            </w:r>
          </w:p>
        </w:tc>
      </w:tr>
    </w:tbl>
    <w:p w14:paraId="1A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  <w:rFonts w:ascii="Circe" w:hAnsi="Circe"/>
        </w:rPr>
      </w:pPr>
    </w:p>
    <w:tbl>
      <w:tblPr>
        <w:tblStyle w:val="Style_9"/>
        <w:tblInd w:type="dxa" w:w="-811"/>
        <w:tblLayout w:type="fixed"/>
        <w:tblCellMar>
          <w:left w:type="dxa" w:w="40"/>
          <w:right w:type="dxa" w:w="40"/>
        </w:tblCellMar>
      </w:tblPr>
      <w:tblGrid>
        <w:gridCol w:w="1277"/>
        <w:gridCol w:w="14883"/>
      </w:tblGrid>
      <w:tr>
        <w:tc>
          <w:tcPr>
            <w:tcW w:type="dxa" w:w="1616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B000000">
            <w:pPr>
              <w:pStyle w:val="Style_10"/>
              <w:widowControl w:val="1"/>
              <w:spacing w:line="240" w:lineRule="auto"/>
              <w:ind/>
              <w:rPr>
                <w:rStyle w:val="Style_11_ch"/>
              </w:rPr>
            </w:pP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1C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3"/>
              </w:rPr>
            </w:pPr>
            <w:r>
              <w:rPr>
                <w:rStyle w:val="Style_11_ch"/>
                <w:rFonts w:ascii="Circe" w:hAnsi="Circe"/>
              </w:rPr>
              <w:t xml:space="preserve">   </w:t>
            </w:r>
            <w:r>
              <w:rPr>
                <w:rStyle w:val="Style_11_ch"/>
                <w:rFonts w:ascii="Circe" w:hAnsi="Circe"/>
                <w:sz w:val="23"/>
              </w:rPr>
              <w:t xml:space="preserve"> Время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1D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3"/>
              </w:rPr>
            </w:pPr>
            <w:r>
              <w:rPr>
                <w:rStyle w:val="Style_11_ch"/>
                <w:rFonts w:ascii="Circe" w:hAnsi="Circe"/>
                <w:sz w:val="23"/>
              </w:rPr>
              <w:t>Освещаемые вопросы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1E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09:40-10:00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1F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>Регистрация участников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20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09:40-10:00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21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>Кофе-брейк</w:t>
            </w:r>
          </w:p>
        </w:tc>
      </w:tr>
      <w:tr>
        <w:trPr>
          <w:trHeight w:hRule="atLeast" w:val="269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2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10:00-12:00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3000000">
            <w:pPr>
              <w:pStyle w:val="Style_8"/>
              <w:widowControl w:val="1"/>
              <w:spacing w:line="240" w:lineRule="auto"/>
              <w:ind w:hanging="357" w:left="357" w:right="357"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b w:val="1"/>
                <w:sz w:val="22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Анализ актуальных изме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нений в сфере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госзакупок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в 2024-2025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годах  </w:t>
            </w:r>
          </w:p>
          <w:p w14:paraId="24000000">
            <w:pPr>
              <w:pStyle w:val="Style_8"/>
              <w:widowControl w:val="1"/>
              <w:spacing w:line="240" w:lineRule="auto"/>
              <w:ind w:right="357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Федеральные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закон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ы: </w:t>
            </w:r>
            <w:r>
              <w:rPr>
                <w:rStyle w:val="Style_12_ch"/>
                <w:rFonts w:ascii="Circe" w:hAnsi="Circe"/>
                <w:sz w:val="23"/>
              </w:rPr>
              <w:t>от 8 марта 2022 года №46-ФЗ;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>от 16 апреля 2022 года №109-ФЗ</w:t>
            </w:r>
            <w:r>
              <w:rPr>
                <w:rStyle w:val="Style_12_ch"/>
                <w:rFonts w:ascii="Circe" w:hAnsi="Circe"/>
                <w:sz w:val="23"/>
              </w:rPr>
              <w:t xml:space="preserve">; </w:t>
            </w:r>
            <w:r>
              <w:rPr>
                <w:rStyle w:val="Style_12_ch"/>
                <w:rFonts w:ascii="Circe" w:hAnsi="Circe"/>
                <w:sz w:val="23"/>
              </w:rPr>
              <w:t xml:space="preserve"> от 16 апреля 2022 года №104-ФЗ</w:t>
            </w:r>
            <w:r>
              <w:rPr>
                <w:rStyle w:val="Style_12_ch"/>
                <w:rFonts w:ascii="Circe" w:hAnsi="Circe"/>
                <w:sz w:val="23"/>
              </w:rPr>
              <w:t>;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 xml:space="preserve">от 11 июня 2022 года №160-ФЗ; от 04 ноября </w:t>
            </w:r>
            <w:r>
              <w:rPr>
                <w:rStyle w:val="Style_12_ch"/>
                <w:rFonts w:ascii="Circe" w:hAnsi="Circe"/>
                <w:sz w:val="23"/>
              </w:rPr>
              <w:t xml:space="preserve">2022 года </w:t>
            </w:r>
            <w:r>
              <w:rPr>
                <w:rStyle w:val="Style_12_ch"/>
                <w:rFonts w:ascii="Circe" w:hAnsi="Circe"/>
                <w:sz w:val="23"/>
              </w:rPr>
              <w:t>№420-ФЗ</w:t>
            </w:r>
            <w:r>
              <w:rPr>
                <w:rStyle w:val="Style_12_ch"/>
                <w:rFonts w:ascii="Circe" w:hAnsi="Circe"/>
                <w:sz w:val="23"/>
              </w:rPr>
              <w:t xml:space="preserve">; </w:t>
            </w: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 xml:space="preserve">от 28 апреля </w:t>
            </w:r>
            <w:r>
              <w:rPr>
                <w:rStyle w:val="Style_12_ch"/>
                <w:rFonts w:ascii="Circe" w:hAnsi="Circe"/>
                <w:sz w:val="23"/>
              </w:rPr>
              <w:t>2023</w:t>
            </w:r>
            <w:r>
              <w:rPr>
                <w:rStyle w:val="Style_12_ch"/>
                <w:rFonts w:ascii="Circe" w:hAnsi="Circe"/>
                <w:sz w:val="23"/>
              </w:rPr>
              <w:t xml:space="preserve"> года</w:t>
            </w:r>
            <w:r>
              <w:rPr>
                <w:rStyle w:val="Style_12_ch"/>
                <w:rFonts w:ascii="Circe" w:hAnsi="Circe"/>
                <w:sz w:val="23"/>
              </w:rPr>
              <w:t xml:space="preserve"> № 154-ФЗ</w:t>
            </w:r>
            <w:r>
              <w:rPr>
                <w:rStyle w:val="Style_12_ch"/>
                <w:rFonts w:ascii="Circe" w:hAnsi="Circe"/>
                <w:sz w:val="23"/>
              </w:rPr>
              <w:t>; от 25 декабря 2023 года №624-ФЗ</w:t>
            </w:r>
            <w:r>
              <w:rPr>
                <w:rStyle w:val="Style_12_ch"/>
                <w:rFonts w:ascii="Circe" w:hAnsi="Circe"/>
                <w:sz w:val="23"/>
              </w:rPr>
              <w:t xml:space="preserve">; от 8 августа 2024 </w:t>
            </w:r>
            <w:r>
              <w:rPr>
                <w:rStyle w:val="Style_12_ch"/>
                <w:rFonts w:ascii="Circe" w:hAnsi="Circe"/>
                <w:sz w:val="23"/>
              </w:rPr>
              <w:t>года №318-ФЗ</w:t>
            </w:r>
            <w:r>
              <w:rPr>
                <w:rStyle w:val="Style_12_ch"/>
                <w:rFonts w:ascii="Circe" w:hAnsi="Circe"/>
                <w:sz w:val="23"/>
              </w:rPr>
              <w:t>; от 26 декабря 2024 года №484-ФЗ</w:t>
            </w:r>
          </w:p>
        </w:tc>
      </w:tr>
      <w:tr>
        <w:trPr>
          <w:trHeight w:hRule="atLeast" w:val="411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5000000">
            <w:pPr>
              <w:pStyle w:val="Style_10"/>
              <w:widowControl w:val="1"/>
              <w:spacing w:line="240" w:lineRule="auto"/>
              <w:ind/>
              <w:rPr>
                <w:rStyle w:val="Style_11_ch"/>
              </w:rPr>
            </w:pP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6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>Новации контрактной системы в 2025 году</w:t>
            </w:r>
          </w:p>
          <w:p w14:paraId="27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Продление ряда антикризисных мер на 2025 год</w:t>
            </w:r>
          </w:p>
          <w:p w14:paraId="28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Переход на НДС для ряда поставщиков, применяющих УСН. </w:t>
            </w:r>
            <w:r>
              <w:rPr>
                <w:rFonts w:ascii="Circe" w:hAnsi="Circe"/>
                <w:sz w:val="23"/>
              </w:rPr>
              <w:t>Допсоглашения</w:t>
            </w:r>
            <w:r>
              <w:rPr>
                <w:rFonts w:ascii="Circe" w:hAnsi="Circe"/>
                <w:sz w:val="23"/>
              </w:rPr>
              <w:t xml:space="preserve"> к контрактам</w:t>
            </w:r>
          </w:p>
          <w:p w14:paraId="29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Обязанность по заключению контракта с единственным поставщиком по ряду оснований части 1 статьи 93</w:t>
            </w:r>
          </w:p>
          <w:p w14:paraId="2A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Заключение цифрового контракта по закупкам у единственного поставщика с января и марта 2025 года: право и обязанность</w:t>
            </w:r>
          </w:p>
          <w:p w14:paraId="2B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порядке заключения контракта в случае несостоявшейся закупки</w:t>
            </w:r>
          </w:p>
          <w:p w14:paraId="2C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Структурированные </w:t>
            </w:r>
            <w:r>
              <w:rPr>
                <w:rFonts w:ascii="Circe" w:hAnsi="Circe"/>
                <w:sz w:val="23"/>
              </w:rPr>
              <w:t>допсоглашения</w:t>
            </w:r>
            <w:r>
              <w:rPr>
                <w:rFonts w:ascii="Circe" w:hAnsi="Circe"/>
                <w:sz w:val="23"/>
              </w:rPr>
              <w:t xml:space="preserve"> об изменении контрактов </w:t>
            </w:r>
          </w:p>
          <w:p w14:paraId="2D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Унификация закупок малого объема в рамках Концепции совершенствования закупок на период до 2027 года согласно Постановлению Правительства от 13.08.2024 № 2144-р</w:t>
            </w:r>
          </w:p>
          <w:p w14:paraId="2E000000">
            <w:pPr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Новации в закупках с </w:t>
            </w:r>
            <w:r>
              <w:rPr>
                <w:rFonts w:ascii="Circe" w:hAnsi="Circe"/>
                <w:b w:val="1"/>
                <w:sz w:val="23"/>
              </w:rPr>
              <w:t>нацрежимом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в 2025 году</w:t>
            </w:r>
          </w:p>
          <w:p w14:paraId="2F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Изменения в законодательстве по </w:t>
            </w:r>
            <w:r>
              <w:rPr>
                <w:rFonts w:ascii="Circe" w:hAnsi="Circe"/>
                <w:sz w:val="23"/>
              </w:rPr>
              <w:t>нацрежиму</w:t>
            </w:r>
          </w:p>
          <w:p w14:paraId="30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Федеральный закон от 08 августа 2024 года №318-ФЗ «О внесении изменений в отдельные законодательные акты РФ и признании утратившими силу отдельных положений законодательных актов РФ»</w:t>
            </w:r>
          </w:p>
          <w:p w14:paraId="31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Российской Федерации от 23 декабря 2024 года №1875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      </w:r>
          </w:p>
          <w:p w14:paraId="32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Актуальные изменения в </w:t>
            </w:r>
            <w:r>
              <w:rPr>
                <w:rFonts w:ascii="Circe" w:hAnsi="Circe"/>
                <w:sz w:val="23"/>
              </w:rPr>
              <w:t>нацрежиме</w:t>
            </w:r>
            <w:r>
              <w:rPr>
                <w:rFonts w:ascii="Circe" w:hAnsi="Circe"/>
                <w:sz w:val="23"/>
              </w:rPr>
              <w:t xml:space="preserve"> и их причины </w:t>
            </w:r>
          </w:p>
          <w:p w14:paraId="33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Анализ перечня товаров по запретам и ограничениям (приложения 1 и 2 ПП1875)</w:t>
            </w:r>
          </w:p>
          <w:p w14:paraId="34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запретов закупок товаров, происходящих из иностранных государств, в том числе по способам закупок</w:t>
            </w:r>
          </w:p>
          <w:p w14:paraId="35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ограничений закупок товаров, происходящих из иностранных государств</w:t>
            </w:r>
          </w:p>
          <w:p w14:paraId="36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Практика применения правила «второй лишний»</w:t>
            </w:r>
          </w:p>
          <w:p w14:paraId="37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преимуществ в отношении товаров российского происхождения</w:t>
            </w:r>
          </w:p>
          <w:p w14:paraId="38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Практика применения преимуществ в отношении конкурентных способов закупок</w:t>
            </w:r>
          </w:p>
          <w:p w14:paraId="39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подтверждения страны происхождения товара в новых условиях</w:t>
            </w:r>
          </w:p>
          <w:p w14:paraId="3A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Основания для отклонения заявки по </w:t>
            </w:r>
            <w:r>
              <w:rPr>
                <w:rFonts w:ascii="Circe" w:hAnsi="Circe"/>
                <w:sz w:val="23"/>
              </w:rPr>
              <w:t>нацрежиму</w:t>
            </w:r>
          </w:p>
          <w:p w14:paraId="3B000000">
            <w:p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Новации контрактной системы в 2026 году</w:t>
            </w:r>
          </w:p>
          <w:p w14:paraId="3C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проведения закупок у единственного поставщика однородных и</w:t>
            </w:r>
            <w:r>
              <w:rPr>
                <w:rFonts w:ascii="Circe" w:hAnsi="Circe"/>
                <w:sz w:val="23"/>
              </w:rPr>
              <w:t>ли</w:t>
            </w:r>
            <w:r>
              <w:rPr>
                <w:rFonts w:ascii="Circe" w:hAnsi="Circe"/>
                <w:sz w:val="23"/>
              </w:rPr>
              <w:t xml:space="preserve"> идентичных товаров</w:t>
            </w:r>
          </w:p>
          <w:p w14:paraId="3D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Декларация в составе заявки участника закупки</w:t>
            </w:r>
          </w:p>
          <w:p w14:paraId="3E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Размещение сведений в реестре контрактов по закупкам у единственного поставщика</w:t>
            </w:r>
          </w:p>
          <w:p w14:paraId="3F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bookmarkStart w:id="1" w:name="_GoBack"/>
            <w:bookmarkEnd w:id="1"/>
            <w:r>
              <w:rPr>
                <w:rFonts w:ascii="Circe" w:hAnsi="Circe"/>
                <w:b w:val="1"/>
                <w:sz w:val="23"/>
              </w:rPr>
              <w:t>Новации контрактной системы в 2024 году</w:t>
            </w:r>
          </w:p>
          <w:p w14:paraId="40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Переход</w:t>
            </w:r>
            <w:r>
              <w:rPr>
                <w:rFonts w:ascii="Circe" w:hAnsi="Circe"/>
                <w:sz w:val="23"/>
              </w:rPr>
              <w:t xml:space="preserve"> на обязательное применение машиночитаемых доверенностей</w:t>
            </w:r>
            <w:r>
              <w:rPr>
                <w:rFonts w:ascii="Circe" w:hAnsi="Circe"/>
                <w:sz w:val="23"/>
              </w:rPr>
              <w:t xml:space="preserve">. Особенности применения ключей </w:t>
            </w:r>
            <w:r>
              <w:rPr>
                <w:rFonts w:ascii="Circe" w:hAnsi="Circe"/>
                <w:sz w:val="23"/>
              </w:rPr>
              <w:t>эцп</w:t>
            </w:r>
            <w:r>
              <w:rPr>
                <w:rFonts w:ascii="Circe" w:hAnsi="Circe"/>
                <w:sz w:val="23"/>
              </w:rPr>
              <w:t xml:space="preserve"> с ролью </w:t>
            </w:r>
            <w:r>
              <w:rPr>
                <w:rFonts w:ascii="Circe" w:hAnsi="Circe"/>
                <w:sz w:val="23"/>
              </w:rPr>
              <w:t>«уполномоченный специалист»</w:t>
            </w:r>
          </w:p>
          <w:p w14:paraId="41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Автоматизация </w:t>
            </w:r>
            <w:r>
              <w:rPr>
                <w:rFonts w:ascii="Circe" w:hAnsi="Circe"/>
                <w:sz w:val="23"/>
              </w:rPr>
              <w:t xml:space="preserve">порядка </w:t>
            </w:r>
            <w:r>
              <w:rPr>
                <w:rFonts w:ascii="Circe" w:hAnsi="Circe"/>
                <w:sz w:val="23"/>
              </w:rPr>
              <w:t>формирования проекта контракта</w:t>
            </w:r>
            <w:r>
              <w:rPr>
                <w:rFonts w:ascii="Circe" w:hAnsi="Circe"/>
                <w:sz w:val="23"/>
              </w:rPr>
              <w:t xml:space="preserve"> заказчиком в </w:t>
            </w:r>
            <w:r>
              <w:rPr>
                <w:rFonts w:ascii="Circe" w:hAnsi="Circe"/>
                <w:sz w:val="23"/>
              </w:rPr>
              <w:t>ЕИСе</w:t>
            </w:r>
            <w:r>
              <w:rPr>
                <w:rFonts w:ascii="Circe" w:hAnsi="Circe"/>
                <w:sz w:val="23"/>
              </w:rPr>
              <w:t xml:space="preserve"> с 1 апреля 2024 года</w:t>
            </w:r>
            <w:r>
              <w:rPr>
                <w:rFonts w:ascii="Circe" w:hAnsi="Circe"/>
                <w:sz w:val="23"/>
              </w:rPr>
              <w:t>. Сроки перехода на структурированный контракт по способам закупок</w:t>
            </w:r>
            <w:r>
              <w:rPr>
                <w:rFonts w:ascii="Circe" w:hAnsi="Circe"/>
                <w:sz w:val="23"/>
              </w:rPr>
              <w:t>. Особенности заключения контракта по несостоявшимся процедурам</w:t>
            </w:r>
          </w:p>
          <w:p w14:paraId="42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«Закрытие победителей» с сентября 2024 года </w:t>
            </w:r>
          </w:p>
          <w:p w14:paraId="43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правилах приемки товара с октября 2024 года</w:t>
            </w:r>
          </w:p>
          <w:p w14:paraId="44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Изменения в макетах независимых гарантиях и </w:t>
            </w:r>
            <w:r>
              <w:rPr>
                <w:rFonts w:ascii="Circe" w:hAnsi="Circe"/>
                <w:sz w:val="23"/>
              </w:rPr>
              <w:t>доптребованиях</w:t>
            </w:r>
            <w:r>
              <w:rPr>
                <w:rFonts w:ascii="Circe" w:hAnsi="Circe"/>
                <w:sz w:val="23"/>
              </w:rPr>
              <w:t xml:space="preserve"> к участникам закупок с октября 2024 года</w:t>
            </w:r>
          </w:p>
          <w:p w14:paraId="45000000">
            <w:pPr>
              <w:pStyle w:val="Style_8"/>
              <w:widowControl w:val="1"/>
              <w:spacing w:line="240" w:lineRule="auto"/>
              <w:ind w:firstLine="0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</w:t>
            </w:r>
            <w:r>
              <w:rPr>
                <w:rFonts w:ascii="Circe" w:hAnsi="Circe"/>
                <w:sz w:val="23"/>
              </w:rPr>
              <w:t xml:space="preserve"> П</w:t>
            </w:r>
            <w:r>
              <w:rPr>
                <w:rFonts w:ascii="Circe" w:hAnsi="Circe"/>
                <w:sz w:val="23"/>
              </w:rPr>
              <w:t>равительства РФ от 23.09.2024 №</w:t>
            </w:r>
            <w:r>
              <w:rPr>
                <w:rFonts w:ascii="Circe" w:hAnsi="Circe"/>
                <w:sz w:val="23"/>
              </w:rPr>
              <w:t>1285</w:t>
            </w:r>
          </w:p>
          <w:p w14:paraId="46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изменения и расторжения контрактов</w:t>
            </w:r>
            <w:r>
              <w:rPr>
                <w:rFonts w:ascii="Circe" w:hAnsi="Circe"/>
                <w:sz w:val="23"/>
              </w:rPr>
              <w:t xml:space="preserve"> через ЕИС</w:t>
            </w:r>
          </w:p>
          <w:p w14:paraId="47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регламенте ФАС по рассмотрению жалоб</w:t>
            </w:r>
          </w:p>
          <w:p w14:paraId="48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Новации в электронном извещении</w:t>
            </w:r>
          </w:p>
          <w:p w14:paraId="49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Предельные размеры платы за участие в закупке</w:t>
            </w:r>
          </w:p>
          <w:p w14:paraId="4A000000">
            <w:pPr>
              <w:pStyle w:val="Style_8"/>
              <w:widowControl w:val="1"/>
              <w:spacing w:line="240" w:lineRule="auto"/>
              <w:ind w:firstLine="0" w:left="720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04.07.2024 №913</w:t>
            </w:r>
          </w:p>
          <w:p w14:paraId="4B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Маркировка продукции </w:t>
            </w:r>
            <w:r>
              <w:rPr>
                <w:rFonts w:ascii="Circe" w:hAnsi="Circe"/>
                <w:sz w:val="23"/>
              </w:rPr>
              <w:t>в ГИС «Честный знак»</w:t>
            </w:r>
          </w:p>
          <w:p w14:paraId="4C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Цифровые паспорта промышленной продукции</w:t>
            </w:r>
          </w:p>
          <w:p w14:paraId="4D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Новое основание для закупок у единственного поставщика (пункт 6.1 части 1 статьи 93)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4E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12:00-12:</w:t>
            </w:r>
            <w:r>
              <w:rPr>
                <w:rStyle w:val="Style_11_ch"/>
                <w:rFonts w:ascii="Circe" w:hAnsi="Circe"/>
                <w:sz w:val="20"/>
              </w:rPr>
              <w:t>4</w:t>
            </w:r>
            <w:r>
              <w:rPr>
                <w:rStyle w:val="Style_11_ch"/>
                <w:rFonts w:ascii="Circe" w:hAnsi="Circe"/>
                <w:sz w:val="20"/>
              </w:rPr>
              <w:t>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4F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Обед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0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12:40-15</w:t>
            </w:r>
            <w:r>
              <w:rPr>
                <w:rStyle w:val="Style_11_ch"/>
                <w:rFonts w:ascii="Circe" w:hAnsi="Circe"/>
                <w:sz w:val="20"/>
              </w:rPr>
              <w:t>:20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1000000">
            <w:pPr>
              <w:tabs>
                <w:tab w:leader="none" w:pos="461" w:val="left"/>
              </w:tabs>
              <w:ind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Описание объекта закупки в структурированном виде </w:t>
            </w:r>
          </w:p>
          <w:p w14:paraId="52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Требования к содержанию извещения. Варианты инструкций по заполнению характеристик. </w:t>
            </w:r>
          </w:p>
          <w:p w14:paraId="53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заказчиков при описании объекта закупки в структурированном виде (</w:t>
            </w:r>
            <w:r>
              <w:rPr>
                <w:rFonts w:ascii="Circe" w:hAnsi="Circe"/>
                <w:sz w:val="23"/>
              </w:rPr>
              <w:t>неуказание</w:t>
            </w:r>
            <w:r>
              <w:rPr>
                <w:rFonts w:ascii="Circe" w:hAnsi="Circe"/>
                <w:sz w:val="23"/>
              </w:rPr>
              <w:t xml:space="preserve"> характеристик, дублирование характеристик в файле, расхождения по характеристикам в извещении и файле). Практика ФАС по жалобам с октября 2023 года</w:t>
            </w:r>
          </w:p>
          <w:p w14:paraId="54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Заявка поставщика в структурированном виде: п</w:t>
            </w:r>
            <w:r>
              <w:rPr>
                <w:rFonts w:ascii="Circe" w:hAnsi="Circe"/>
                <w:sz w:val="23"/>
              </w:rPr>
              <w:t>орядок заполнения характеристик товара</w:t>
            </w:r>
            <w:r>
              <w:rPr>
                <w:rFonts w:ascii="Circe" w:hAnsi="Circe"/>
                <w:sz w:val="23"/>
              </w:rPr>
              <w:t>, заполняемые поля на ЭП, возможность указания разных товаров с одинаковыми характеристиками. Ч</w:t>
            </w:r>
            <w:r>
              <w:rPr>
                <w:rFonts w:ascii="Circe" w:hAnsi="Circe"/>
                <w:sz w:val="23"/>
              </w:rPr>
              <w:t>то и как проверяет ЭП</w:t>
            </w:r>
            <w:r>
              <w:rPr>
                <w:rFonts w:ascii="Circe" w:hAnsi="Circe"/>
                <w:sz w:val="23"/>
              </w:rPr>
              <w:t xml:space="preserve"> при заполнении заявки</w:t>
            </w:r>
            <w:r>
              <w:rPr>
                <w:rFonts w:ascii="Circe" w:hAnsi="Circe"/>
                <w:sz w:val="23"/>
              </w:rPr>
              <w:t>. Типичные ошибки поставщиков по структурированным заявкам</w:t>
            </w:r>
          </w:p>
          <w:p w14:paraId="55000000">
            <w:pPr>
              <w:pStyle w:val="Style_8"/>
              <w:widowControl w:val="1"/>
              <w:spacing w:line="240" w:lineRule="auto"/>
              <w:ind/>
              <w:jc w:val="both"/>
              <w:rPr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Виды и способы осуществления закупок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</w:p>
          <w:p w14:paraId="56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Унификация, </w:t>
            </w:r>
            <w:r>
              <w:rPr>
                <w:rFonts w:ascii="Circe" w:hAnsi="Circe"/>
                <w:sz w:val="23"/>
              </w:rPr>
              <w:t>цифровизация</w:t>
            </w:r>
            <w:r>
              <w:rPr>
                <w:rFonts w:ascii="Circe" w:hAnsi="Circe"/>
                <w:sz w:val="23"/>
              </w:rPr>
              <w:t>, автоматизация процесса закупки</w:t>
            </w:r>
            <w:r>
              <w:rPr>
                <w:rFonts w:ascii="Circe" w:hAnsi="Circe"/>
                <w:sz w:val="23"/>
              </w:rPr>
              <w:t xml:space="preserve"> с 2022 года</w:t>
            </w:r>
          </w:p>
          <w:p w14:paraId="57000000">
            <w:pPr>
              <w:pStyle w:val="Style_13"/>
              <w:numPr>
                <w:ilvl w:val="0"/>
                <w:numId w:val="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Перечень открытых конкурентных способов закупки: 1) электронный конкурс, 2) электронный аукцион, 3) электронный запрос котировок.</w:t>
            </w:r>
          </w:p>
          <w:p w14:paraId="58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Перечень закрытых конкурентных закупок: </w:t>
            </w:r>
            <w:r>
              <w:rPr>
                <w:rFonts w:ascii="Circe" w:hAnsi="Circe"/>
                <w:sz w:val="23"/>
              </w:rPr>
              <w:t xml:space="preserve">1) </w:t>
            </w:r>
            <w:r>
              <w:rPr>
                <w:rFonts w:ascii="Circe" w:hAnsi="Circe"/>
                <w:sz w:val="23"/>
              </w:rPr>
              <w:t>закрытый конкурс, 2) закрытый электронный конкурс, 3) закрытый аукцион, 4) закрытый электронный аукцион</w:t>
            </w:r>
          </w:p>
          <w:p w14:paraId="59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Неконкурентный способ закупки: закупка у единственного поставщика, малые электронные закупки</w:t>
            </w:r>
          </w:p>
          <w:p w14:paraId="5A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Порядок выбора способа закупки и сравнение закупочных процедур. </w:t>
            </w:r>
          </w:p>
          <w:p w14:paraId="5B000000">
            <w:pPr>
              <w:pStyle w:val="Style_13"/>
              <w:tabs>
                <w:tab w:leader="none" w:pos="385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Распоряжение Правительства РФ от 21 марта 2016 года №471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 xml:space="preserve">«Об утверждении перечня товаров, работ, услуг, в случае осуществления </w:t>
            </w:r>
            <w:r>
              <w:rPr>
                <w:rFonts w:ascii="Circe" w:hAnsi="Circe"/>
                <w:sz w:val="23"/>
              </w:rPr>
              <w:t>закупки которых заказчик обязан проводить электронный аукцион»</w:t>
            </w:r>
          </w:p>
          <w:p w14:paraId="5C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</w:t>
            </w:r>
            <w:r>
              <w:rPr>
                <w:rFonts w:ascii="Circe" w:hAnsi="Circe"/>
                <w:sz w:val="23"/>
              </w:rPr>
              <w:t xml:space="preserve">снования применения запроса котировок вне предельных объемов. </w:t>
            </w:r>
          </w:p>
          <w:p w14:paraId="5D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Основания и </w:t>
            </w:r>
            <w:r>
              <w:rPr>
                <w:rFonts w:ascii="Circe" w:hAnsi="Circe"/>
                <w:sz w:val="23"/>
              </w:rPr>
              <w:t>порядок проведения закрытых закупок</w:t>
            </w:r>
            <w:r>
              <w:rPr>
                <w:rFonts w:ascii="Circe" w:hAnsi="Circe"/>
                <w:sz w:val="23"/>
              </w:rPr>
              <w:t xml:space="preserve">. </w:t>
            </w:r>
            <w:r>
              <w:rPr>
                <w:rFonts w:ascii="Circe" w:hAnsi="Circe"/>
                <w:sz w:val="23"/>
              </w:rPr>
              <w:t>Новый перечень закрытых электронных площадок</w:t>
            </w:r>
          </w:p>
          <w:p w14:paraId="5E000000">
            <w:pPr>
              <w:pStyle w:val="Style_13"/>
              <w:tabs>
                <w:tab w:leader="none" w:pos="385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Распоряжение Правительства РФ от 23 ноября 2022 года №3574-р</w:t>
            </w:r>
          </w:p>
          <w:p w14:paraId="5F000000">
            <w:pPr>
              <w:pStyle w:val="Style_13"/>
              <w:numPr>
                <w:ilvl w:val="0"/>
                <w:numId w:val="2"/>
              </w:numPr>
              <w:tabs>
                <w:tab w:leader="none" w:pos="385" w:val="left"/>
              </w:tabs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ЭП при проведении электронных способов закупок</w:t>
            </w:r>
            <w:r>
              <w:rPr>
                <w:rStyle w:val="Style_12_ch"/>
                <w:b w:val="1"/>
                <w:sz w:val="23"/>
              </w:rPr>
              <w:t xml:space="preserve"> </w:t>
            </w:r>
          </w:p>
          <w:p w14:paraId="60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Извещение закупочной процедуры </w:t>
            </w:r>
          </w:p>
          <w:p w14:paraId="61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Единая форма извещения для всех способов закупок </w:t>
            </w:r>
          </w:p>
          <w:p w14:paraId="62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Отсутствие документации в открытых закупках</w:t>
            </w:r>
          </w:p>
          <w:p w14:paraId="63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определения приоритета информации, указанной в извещении и ЕИС</w:t>
            </w:r>
          </w:p>
          <w:p w14:paraId="64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Состав извещения об осуществлении закупки </w:t>
            </w:r>
            <w:r>
              <w:rPr>
                <w:rFonts w:ascii="Circe" w:hAnsi="Circe"/>
                <w:sz w:val="23"/>
              </w:rPr>
              <w:t>согласно статье 42</w:t>
            </w:r>
          </w:p>
          <w:p w14:paraId="65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Приложения к извещению: описание объекта закупки, обоснование НМЦ, требования к содержанию и составу заявки поставщика, инструкция по заполнению заявки, порядок рассмотрения оценки заявок в конкурсе, проект контракта, дополнительные требования</w:t>
            </w:r>
          </w:p>
          <w:p w14:paraId="66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Расширенная форма извещения</w:t>
            </w:r>
            <w:r>
              <w:rPr>
                <w:rFonts w:ascii="Circe" w:hAnsi="Circe"/>
                <w:sz w:val="23"/>
              </w:rPr>
              <w:t xml:space="preserve"> как основа для электронной заявки участника закупки</w:t>
            </w:r>
          </w:p>
          <w:p w14:paraId="67000000">
            <w:pPr>
              <w:tabs>
                <w:tab w:leader="none" w:pos="284" w:val="left"/>
              </w:tabs>
              <w:ind/>
              <w:jc w:val="both"/>
              <w:rPr>
                <w:rStyle w:val="Style_12_ch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</w:p>
          <w:p w14:paraId="68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Сроки подачи заявок </w:t>
            </w:r>
            <w:r>
              <w:rPr>
                <w:rFonts w:ascii="Circe" w:hAnsi="Circe"/>
                <w:b w:val="1"/>
                <w:sz w:val="23"/>
              </w:rPr>
              <w:t xml:space="preserve">и внесения изменений </w:t>
            </w:r>
            <w:r>
              <w:rPr>
                <w:rFonts w:ascii="Circe" w:hAnsi="Circe"/>
                <w:b w:val="1"/>
                <w:sz w:val="23"/>
              </w:rPr>
              <w:t>по закупочным процедурам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</w:p>
          <w:p w14:paraId="69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исчисления сроков по календарным и рабочим дням</w:t>
            </w:r>
            <w:r>
              <w:rPr>
                <w:rFonts w:ascii="Circe" w:hAnsi="Circe"/>
                <w:sz w:val="23"/>
              </w:rPr>
              <w:t>: новации при проведении конкурса</w:t>
            </w:r>
          </w:p>
          <w:p w14:paraId="6A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</w:t>
            </w:r>
            <w:r>
              <w:rPr>
                <w:rFonts w:ascii="Circe" w:hAnsi="Circe"/>
                <w:sz w:val="23"/>
              </w:rPr>
              <w:t>роки внесения изменений по открытым и закрытым закупкам</w:t>
            </w:r>
          </w:p>
          <w:p w14:paraId="6B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Перечень изменений, которые не допускается вносить</w:t>
            </w:r>
          </w:p>
          <w:p w14:paraId="6C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Новации </w:t>
            </w:r>
            <w:r>
              <w:rPr>
                <w:rFonts w:ascii="Circe" w:hAnsi="Circe"/>
                <w:sz w:val="23"/>
              </w:rPr>
              <w:t>при  продлении</w:t>
            </w:r>
            <w:r>
              <w:rPr>
                <w:rFonts w:ascii="Circe" w:hAnsi="Circe"/>
                <w:sz w:val="23"/>
              </w:rPr>
              <w:t xml:space="preserve"> сроков подачи заявок участниками закупок при внесении изменений в аукционах и конкурсах</w:t>
            </w:r>
          </w:p>
          <w:p w14:paraId="6D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Сроки отмены</w:t>
            </w:r>
            <w:r>
              <w:rPr>
                <w:rFonts w:ascii="Circe" w:hAnsi="Circe"/>
                <w:sz w:val="23"/>
              </w:rPr>
              <w:t xml:space="preserve"> конкурентных закупок на этапе подачи заявок</w:t>
            </w:r>
          </w:p>
          <w:p w14:paraId="6E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Сроки подачи запросов на разъяснения участниками закупок при проведении аукциона и конкурса. Регламентированные </w:t>
            </w:r>
            <w:r>
              <w:rPr>
                <w:rFonts w:ascii="Circe" w:hAnsi="Circe"/>
                <w:sz w:val="23"/>
              </w:rPr>
              <w:t>сроки  ответа</w:t>
            </w:r>
            <w:r>
              <w:rPr>
                <w:rFonts w:ascii="Circe" w:hAnsi="Circe"/>
                <w:sz w:val="23"/>
              </w:rPr>
              <w:t xml:space="preserve"> заказчика при поступлении запроса на разъяснение</w:t>
            </w:r>
          </w:p>
          <w:p w14:paraId="6F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Сроки подписания контракта по закупочным процедурам </w:t>
            </w:r>
          </w:p>
          <w:p w14:paraId="70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 xml:space="preserve">орядок заключения контрактов при проведении </w:t>
            </w:r>
            <w:r>
              <w:rPr>
                <w:rFonts w:ascii="Circe" w:hAnsi="Circe"/>
                <w:sz w:val="23"/>
              </w:rPr>
              <w:t>конкурентных способов</w:t>
            </w:r>
          </w:p>
          <w:p w14:paraId="71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Новации в сроках заключения контракта со стороны заказчика и поставщика. Новый порядок применения календарных и рабочих дней</w:t>
            </w:r>
          </w:p>
          <w:p w14:paraId="72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проверки участника при заключении контракта</w:t>
            </w:r>
          </w:p>
          <w:p w14:paraId="73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Обязанность заключения контракт у второго и третьего участника в случае уклонения победителя от заключения контракта. Порядок заключения контракта со вторым и третьим участником</w:t>
            </w:r>
          </w:p>
          <w:p w14:paraId="74000000">
            <w:pPr>
              <w:pStyle w:val="Style_13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заключения контракта со вторым участником на этапе исполнения без включения победителя в РНП</w:t>
            </w:r>
          </w:p>
          <w:p w14:paraId="75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Действия заказчика при уклонении победителя от заключения контракта</w:t>
            </w:r>
          </w:p>
          <w:p w14:paraId="76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Сокращение сроков реагирования по протоколу разногласий</w:t>
            </w:r>
          </w:p>
          <w:p w14:paraId="77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Протокол разногласий при проведении </w:t>
            </w:r>
            <w:r>
              <w:rPr>
                <w:rFonts w:ascii="Circe" w:hAnsi="Circe"/>
                <w:sz w:val="23"/>
              </w:rPr>
              <w:t>аукциона и конкурса</w:t>
            </w:r>
            <w:r>
              <w:rPr>
                <w:rFonts w:ascii="Circe" w:hAnsi="Circe"/>
                <w:sz w:val="23"/>
              </w:rPr>
              <w:t>: правила оформления и  исчисления сроков, аргументы подачи протокола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78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15:20-15:4</w:t>
            </w:r>
            <w:r>
              <w:rPr>
                <w:rStyle w:val="Style_11_ch"/>
                <w:rFonts w:ascii="Circe" w:hAnsi="Circe"/>
                <w:sz w:val="20"/>
              </w:rPr>
              <w:t>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79000000">
            <w:pPr>
              <w:pStyle w:val="Style_8"/>
              <w:widowControl w:val="1"/>
              <w:spacing w:line="240" w:lineRule="auto"/>
              <w:ind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Кофе-брейк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A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15:40-17:2</w:t>
            </w:r>
            <w:r>
              <w:rPr>
                <w:rStyle w:val="Style_11_ch"/>
                <w:rFonts w:ascii="Circe" w:hAnsi="Circe"/>
                <w:sz w:val="20"/>
              </w:rPr>
              <w:t>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B000000">
            <w:pPr>
              <w:tabs>
                <w:tab w:leader="none" w:pos="284" w:val="left"/>
              </w:tabs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Состав заявки поставщика </w:t>
            </w:r>
            <w:r>
              <w:rPr>
                <w:rFonts w:ascii="Circe" w:hAnsi="Circe"/>
                <w:b w:val="1"/>
                <w:sz w:val="23"/>
              </w:rPr>
              <w:t xml:space="preserve">и требования к поставщикам </w:t>
            </w:r>
            <w:r>
              <w:rPr>
                <w:rFonts w:ascii="Circe" w:hAnsi="Circe"/>
                <w:b w:val="1"/>
                <w:sz w:val="23"/>
              </w:rPr>
              <w:t xml:space="preserve">по закупочным процедурам </w:t>
            </w:r>
          </w:p>
          <w:p w14:paraId="7C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Унифицированные требования к составу заявки поставщика по всем конкурентным способам закупок (аукцион, конкурс, запрос котировок): информация об участнике закупки, информация о предлагаемом ТРУ, ценовое предложение участника закупки, документы о соответствии национальному режиму</w:t>
            </w:r>
          </w:p>
          <w:p w14:paraId="7D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Состав заявки поставщика согласно статье 43. Особенности синхронизации данных с ЕИС</w:t>
            </w:r>
          </w:p>
          <w:p w14:paraId="7E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Состав требований к участнику закупки согласно статье 31: единые обязательные требования, универсальная </w:t>
            </w:r>
            <w:r>
              <w:rPr>
                <w:rFonts w:ascii="Circe" w:hAnsi="Circe"/>
                <w:sz w:val="23"/>
              </w:rPr>
              <w:t>предквалификация</w:t>
            </w:r>
            <w:r>
              <w:rPr>
                <w:rFonts w:ascii="Circe" w:hAnsi="Circe"/>
                <w:sz w:val="23"/>
              </w:rPr>
              <w:t xml:space="preserve">, специальная </w:t>
            </w:r>
            <w:r>
              <w:rPr>
                <w:rFonts w:ascii="Circe" w:hAnsi="Circe"/>
                <w:sz w:val="23"/>
              </w:rPr>
              <w:t>предквалификация</w:t>
            </w:r>
          </w:p>
          <w:p w14:paraId="7F000000">
            <w:pPr>
              <w:pStyle w:val="Style_13"/>
              <w:tabs>
                <w:tab w:leader="none" w:pos="284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29 декабря 2021 года №2571 «О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требованиям…»</w:t>
            </w:r>
          </w:p>
          <w:p w14:paraId="80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Специальная </w:t>
            </w:r>
            <w:r>
              <w:rPr>
                <w:rFonts w:ascii="Circe" w:hAnsi="Circe"/>
                <w:sz w:val="23"/>
              </w:rPr>
              <w:t>предквалификация</w:t>
            </w:r>
            <w:r>
              <w:rPr>
                <w:rFonts w:ascii="Circe" w:hAnsi="Circe"/>
                <w:sz w:val="23"/>
              </w:rPr>
              <w:t xml:space="preserve"> на основании части 2 статьи 31: особенности прохождения поставщиком аккредитации на ЭП, требования к опыту. Анализ случаев отклонения заявок заказчиками, практика ФАС</w:t>
            </w:r>
          </w:p>
          <w:p w14:paraId="81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Универсальная </w:t>
            </w:r>
            <w:r>
              <w:rPr>
                <w:rFonts w:ascii="Circe" w:hAnsi="Circe"/>
                <w:sz w:val="23"/>
              </w:rPr>
              <w:t>предквалификация</w:t>
            </w:r>
            <w:r>
              <w:rPr>
                <w:rFonts w:ascii="Circe" w:hAnsi="Circe"/>
                <w:sz w:val="23"/>
              </w:rPr>
              <w:t xml:space="preserve"> поставщиков по части 2.1 статьи 31 – обязательное предоставление опыта в закупках с НЦМК от 20 млн. рублей. </w:t>
            </w:r>
          </w:p>
          <w:p w14:paraId="82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Реестровая</w:t>
            </w:r>
            <w:r>
              <w:rPr>
                <w:rFonts w:ascii="Circe" w:hAnsi="Circe"/>
                <w:sz w:val="23"/>
              </w:rPr>
              <w:t xml:space="preserve"> модель лицензирования</w:t>
            </w:r>
          </w:p>
          <w:p w14:paraId="83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>орядок ведения реестра участника и аккредитации на электронных площадках</w:t>
            </w:r>
          </w:p>
          <w:p w14:paraId="84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</w:t>
            </w:r>
            <w:r>
              <w:rPr>
                <w:rFonts w:ascii="Circe" w:hAnsi="Circe"/>
                <w:sz w:val="23"/>
              </w:rPr>
              <w:t>снования возврата заявки участника оператором электронной площадки</w:t>
            </w:r>
          </w:p>
          <w:p w14:paraId="85000000">
            <w:pPr>
              <w:pStyle w:val="Style_13"/>
              <w:numPr>
                <w:ilvl w:val="0"/>
                <w:numId w:val="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отзыва заявки поставщика на этапе подведения итого закупки: случаи применения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</w:p>
          <w:p w14:paraId="86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Способы закупок</w:t>
            </w:r>
          </w:p>
          <w:p w14:paraId="87000000">
            <w:p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Аукцион в электронной форме </w:t>
            </w:r>
          </w:p>
          <w:p w14:paraId="88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единой заявки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участника</w:t>
            </w:r>
          </w:p>
          <w:p w14:paraId="89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</w:t>
            </w:r>
            <w:r>
              <w:rPr>
                <w:rFonts w:ascii="Circe" w:hAnsi="Circe"/>
                <w:sz w:val="23"/>
              </w:rPr>
              <w:t xml:space="preserve"> проведения электронного аукциона: анализ заявки поставщика после аукциона. Автоматический допуск всех участников закупки</w:t>
            </w:r>
          </w:p>
          <w:p w14:paraId="8A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</w:t>
            </w:r>
            <w:r>
              <w:rPr>
                <w:rFonts w:ascii="Circe" w:hAnsi="Circe"/>
                <w:sz w:val="23"/>
              </w:rPr>
              <w:t xml:space="preserve">лгоритм проведения торга в электронном аукционе: через 2 часа после окончания подачи заявок, ценовые предложения не реже, чем 1 раз в 4 </w:t>
            </w:r>
            <w:r>
              <w:rPr>
                <w:rFonts w:ascii="Circe" w:hAnsi="Circe"/>
                <w:sz w:val="23"/>
              </w:rPr>
              <w:t>минуты,  общая</w:t>
            </w:r>
            <w:r>
              <w:rPr>
                <w:rFonts w:ascii="Circe" w:hAnsi="Circe"/>
                <w:sz w:val="23"/>
              </w:rPr>
              <w:t xml:space="preserve"> продолжительность аукциона не более 5 часов</w:t>
            </w:r>
          </w:p>
          <w:p w14:paraId="8B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</w:t>
            </w:r>
            <w:r>
              <w:rPr>
                <w:rFonts w:ascii="Circe" w:hAnsi="Circe"/>
                <w:sz w:val="23"/>
              </w:rPr>
              <w:t>роки рассмотрения заявок и подведения итогов комиссией заказчика</w:t>
            </w:r>
          </w:p>
          <w:p w14:paraId="8C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отзыва заявки у ряда участников после публикации итогового протокола</w:t>
            </w:r>
          </w:p>
          <w:p w14:paraId="8D000000">
            <w:pPr>
              <w:pStyle w:val="Style_13"/>
              <w:numPr>
                <w:ilvl w:val="0"/>
                <w:numId w:val="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Преимущества и недостатки нового электронного аукциона</w:t>
            </w:r>
          </w:p>
          <w:p w14:paraId="8E000000">
            <w:pPr>
              <w:tabs>
                <w:tab w:leader="none" w:pos="284" w:val="left"/>
              </w:tabs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Конкурс в электронной форме </w:t>
            </w:r>
          </w:p>
          <w:p w14:paraId="8F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Разделение заявки поставщика на 3 части</w:t>
            </w:r>
          </w:p>
          <w:p w14:paraId="90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</w:t>
            </w:r>
            <w:r>
              <w:rPr>
                <w:rFonts w:ascii="Circe" w:hAnsi="Circe"/>
                <w:sz w:val="23"/>
              </w:rPr>
              <w:t>роки проведения этапов электронного конкурса</w:t>
            </w:r>
          </w:p>
          <w:p w14:paraId="91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</w:t>
            </w:r>
            <w:r>
              <w:rPr>
                <w:rFonts w:ascii="Circe" w:hAnsi="Circe"/>
                <w:sz w:val="23"/>
              </w:rPr>
              <w:t>роки рассмотрения заявок поставщика комиссией заказчика</w:t>
            </w:r>
          </w:p>
          <w:p w14:paraId="92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>орядок оценки заявок</w:t>
            </w:r>
          </w:p>
          <w:p w14:paraId="93000000">
            <w:pPr>
              <w:pStyle w:val="Style_13"/>
              <w:tabs>
                <w:tab w:leader="none" w:pos="284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31 декабря 2021 года №2604 «Об оценке заявок на участие в закупке товаров, работ, услуг для обеспечения государственных и муниципальных нужд»</w:t>
            </w:r>
          </w:p>
          <w:p w14:paraId="94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заказчиков при рассмотрении заявок поставщиков</w:t>
            </w:r>
          </w:p>
          <w:p w14:paraId="95000000">
            <w:p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Запрос котировок</w:t>
            </w:r>
            <w:r>
              <w:rPr>
                <w:rFonts w:ascii="Circe" w:hAnsi="Circe"/>
                <w:b w:val="1"/>
                <w:sz w:val="23"/>
              </w:rPr>
              <w:t xml:space="preserve"> в электронной форме</w:t>
            </w:r>
          </w:p>
          <w:p w14:paraId="96000000">
            <w:pPr>
              <w:pStyle w:val="Style_13"/>
              <w:numPr>
                <w:ilvl w:val="0"/>
                <w:numId w:val="1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Увеличение предельного значения НМЦК при проведении запроса котировок до 10 млн. рублей. Отсутствие СГОЗ при </w:t>
            </w:r>
            <w:r>
              <w:rPr>
                <w:rFonts w:ascii="Circe" w:hAnsi="Circe"/>
                <w:sz w:val="23"/>
              </w:rPr>
              <w:t xml:space="preserve">проведении 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запроса</w:t>
            </w:r>
            <w:r>
              <w:rPr>
                <w:rFonts w:ascii="Circe" w:hAnsi="Circe"/>
                <w:sz w:val="23"/>
              </w:rPr>
              <w:t xml:space="preserve"> котировок до 31.12.2026</w:t>
            </w:r>
          </w:p>
          <w:p w14:paraId="97000000">
            <w:pPr>
              <w:pStyle w:val="Style_13"/>
              <w:numPr>
                <w:ilvl w:val="0"/>
                <w:numId w:val="1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проведения запроса котировок</w:t>
            </w:r>
          </w:p>
          <w:p w14:paraId="98000000">
            <w:pPr>
              <w:pStyle w:val="Style_13"/>
              <w:numPr>
                <w:ilvl w:val="0"/>
                <w:numId w:val="1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запроса котировок на этапе подписания и исполнения контракта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9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17:20-17:45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A000000">
            <w:pPr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Закупка</w:t>
            </w:r>
            <w:r>
              <w:rPr>
                <w:rFonts w:ascii="Circe" w:hAnsi="Circe"/>
                <w:b w:val="1"/>
                <w:sz w:val="23"/>
              </w:rPr>
              <w:t xml:space="preserve"> у единственного поставщика</w:t>
            </w:r>
          </w:p>
          <w:p w14:paraId="9B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Анализ оснований для применения 93 статьи</w:t>
            </w:r>
          </w:p>
          <w:p w14:paraId="9C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Особенности закупок малого объема по пунктам 4 и 5 части 1 статьи 93 с НМЦК до 600 тысяч рублей </w:t>
            </w:r>
          </w:p>
          <w:p w14:paraId="9D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Практика применения закупок малого объема с НМЦК до </w:t>
            </w:r>
            <w:r>
              <w:rPr>
                <w:rFonts w:ascii="Circe" w:hAnsi="Circe"/>
                <w:sz w:val="23"/>
              </w:rPr>
              <w:t>5</w:t>
            </w:r>
            <w:r>
              <w:rPr>
                <w:rFonts w:ascii="Circe" w:hAnsi="Circe"/>
                <w:sz w:val="23"/>
              </w:rPr>
              <w:t>-х млн. рублей на основании части 12 статьи 93. Особенности учета СГОЗ</w:t>
            </w:r>
          </w:p>
          <w:p w14:paraId="9E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Электронные магазины малых закупок: особенности подачи заявок и заключения контракта</w:t>
            </w:r>
          </w:p>
          <w:p w14:paraId="9F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Примеры регламентов ЭП ЕАТ «Березка», Портал поставщиков </w:t>
            </w:r>
            <w:r>
              <w:rPr>
                <w:rFonts w:ascii="Circe" w:hAnsi="Circe"/>
                <w:sz w:val="23"/>
              </w:rPr>
              <w:t>г.Москвы</w:t>
            </w:r>
          </w:p>
          <w:p w14:paraId="A0000000">
            <w:p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Электронное актирование </w:t>
            </w:r>
          </w:p>
          <w:p w14:paraId="A1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Право и обязанность оформления электронного акта: анализ случаев применения</w:t>
            </w:r>
          </w:p>
          <w:p w14:paraId="A2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Виды электронных документов о приемке в ЕИС</w:t>
            </w:r>
            <w:r>
              <w:rPr>
                <w:rFonts w:ascii="Circe" w:hAnsi="Circe"/>
                <w:sz w:val="23"/>
              </w:rPr>
              <w:t xml:space="preserve">: документ о приемке, счет-фактура, </w:t>
            </w:r>
            <w:r>
              <w:rPr>
                <w:rFonts w:ascii="Circe" w:hAnsi="Circe"/>
                <w:sz w:val="23"/>
              </w:rPr>
              <w:t>упд</w:t>
            </w:r>
          </w:p>
          <w:p w14:paraId="A3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Структурированные формы</w:t>
            </w:r>
            <w:r>
              <w:rPr>
                <w:rFonts w:ascii="Circe" w:hAnsi="Circe"/>
                <w:sz w:val="23"/>
              </w:rPr>
              <w:t xml:space="preserve"> документа о приемке в ЕИС</w:t>
            </w:r>
            <w:r>
              <w:rPr>
                <w:rFonts w:ascii="Circe" w:hAnsi="Circe"/>
                <w:sz w:val="23"/>
              </w:rPr>
              <w:t xml:space="preserve">: основные и дополнительные разделы для заполнения </w:t>
            </w:r>
          </w:p>
          <w:p w14:paraId="A4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оформления электронного акта заказчиком и поставщиком на основании части 13 статьи 94</w:t>
            </w:r>
          </w:p>
          <w:p w14:paraId="A5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Руководство пользователя поставщика в </w:t>
            </w:r>
            <w:r>
              <w:rPr>
                <w:rFonts w:ascii="Circe" w:hAnsi="Circe"/>
                <w:sz w:val="23"/>
              </w:rPr>
              <w:t>ЕИСе</w:t>
            </w:r>
            <w:r>
              <w:rPr>
                <w:rFonts w:ascii="Circe" w:hAnsi="Circe"/>
                <w:sz w:val="23"/>
              </w:rPr>
              <w:t xml:space="preserve"> </w:t>
            </w:r>
          </w:p>
          <w:p w14:paraId="A6000000">
            <w:pPr>
              <w:pStyle w:val="Style_8"/>
              <w:widowControl w:val="1"/>
              <w:numPr>
                <w:ilvl w:val="0"/>
                <w:numId w:val="6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Случаи, при которых заказчик не примет электронный документ от поставщика</w:t>
            </w:r>
          </w:p>
          <w:p w14:paraId="A7000000">
            <w:pPr>
              <w:pStyle w:val="Style_8"/>
              <w:widowControl w:val="1"/>
              <w:ind w:firstLine="0" w:left="720"/>
              <w:rPr>
                <w:rFonts w:ascii="Circe" w:hAnsi="Circe"/>
                <w:sz w:val="23"/>
              </w:rPr>
            </w:pP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  <w:tcMar>
              <w:left w:type="dxa" w:w="40"/>
              <w:right w:type="dxa" w:w="40"/>
            </w:tcMar>
          </w:tcPr>
          <w:p w14:paraId="A8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17:</w:t>
            </w:r>
            <w:r>
              <w:rPr>
                <w:rStyle w:val="Style_11_ch"/>
                <w:rFonts w:ascii="Circe" w:hAnsi="Circe"/>
                <w:sz w:val="20"/>
              </w:rPr>
              <w:t>45-18</w:t>
            </w:r>
            <w:r>
              <w:rPr>
                <w:rStyle w:val="Style_11_ch"/>
                <w:rFonts w:ascii="Circe" w:hAnsi="Circe"/>
                <w:sz w:val="20"/>
              </w:rPr>
              <w:t>:</w:t>
            </w:r>
            <w:r>
              <w:rPr>
                <w:rStyle w:val="Style_11_ch"/>
                <w:rFonts w:ascii="Circe" w:hAnsi="Circe"/>
                <w:sz w:val="20"/>
              </w:rPr>
              <w:t>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  <w:tcMar>
              <w:left w:type="dxa" w:w="40"/>
              <w:right w:type="dxa" w:w="40"/>
            </w:tcMar>
          </w:tcPr>
          <w:p w14:paraId="A9000000">
            <w:pPr>
              <w:pStyle w:val="Style_14"/>
              <w:widowControl w:val="1"/>
              <w:tabs>
                <w:tab w:leader="none" w:pos="385" w:val="left"/>
                <w:tab w:leader="none" w:pos="468" w:val="left"/>
              </w:tabs>
              <w:spacing w:line="240" w:lineRule="auto"/>
              <w:ind w:firstLine="0" w:left="0"/>
              <w:jc w:val="both"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Окончание семинара.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Ответы на вопросы. Вручение сертификатов</w:t>
            </w:r>
          </w:p>
        </w:tc>
      </w:tr>
    </w:tbl>
    <w:p w14:paraId="AA000000"/>
    <w:sectPr>
      <w:pgSz w:h="11907" w:orient="landscape" w:w="16839"/>
      <w:pgMar w:bottom="284" w:footer="720" w:gutter="0" w:header="720" w:left="1134" w:right="28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15" w:type="paragraph">
    <w:name w:val="toc 2"/>
    <w:next w:val="Style_5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0" w:type="paragraph">
    <w:name w:val="Style11"/>
    <w:basedOn w:val="Style_5"/>
    <w:link w:val="Style_10_ch"/>
    <w:pPr>
      <w:spacing w:line="245" w:lineRule="exact"/>
      <w:ind/>
    </w:pPr>
  </w:style>
  <w:style w:styleId="Style_10_ch" w:type="character">
    <w:name w:val="Style11"/>
    <w:basedOn w:val="Style_5_ch"/>
    <w:link w:val="Style_10"/>
  </w:style>
  <w:style w:styleId="Style_1" w:type="paragraph">
    <w:name w:val="Style1"/>
    <w:basedOn w:val="Style_5"/>
    <w:link w:val="Style_1_ch"/>
  </w:style>
  <w:style w:styleId="Style_1_ch" w:type="character">
    <w:name w:val="Style1"/>
    <w:basedOn w:val="Style_5_ch"/>
    <w:link w:val="Style_1"/>
  </w:style>
  <w:style w:styleId="Style_16" w:type="paragraph">
    <w:name w:val="toc 4"/>
    <w:next w:val="Style_5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4" w:type="paragraph">
    <w:name w:val="Style5"/>
    <w:basedOn w:val="Style_5"/>
    <w:link w:val="Style_4_ch"/>
  </w:style>
  <w:style w:styleId="Style_4_ch" w:type="character">
    <w:name w:val="Style5"/>
    <w:basedOn w:val="Style_5_ch"/>
    <w:link w:val="Style_4"/>
  </w:style>
  <w:style w:styleId="Style_8" w:type="paragraph">
    <w:name w:val="Style10"/>
    <w:basedOn w:val="Style_5"/>
    <w:link w:val="Style_8_ch"/>
    <w:pPr>
      <w:spacing w:line="252" w:lineRule="exact"/>
      <w:ind/>
    </w:pPr>
  </w:style>
  <w:style w:styleId="Style_8_ch" w:type="character">
    <w:name w:val="Style10"/>
    <w:basedOn w:val="Style_5_ch"/>
    <w:link w:val="Style_8"/>
  </w:style>
  <w:style w:styleId="Style_17" w:type="paragraph">
    <w:name w:val="toc 6"/>
    <w:next w:val="Style_5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5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3" w:type="paragraph">
    <w:name w:val="Normal (Web)"/>
    <w:basedOn w:val="Style_5"/>
    <w:link w:val="Style_3_ch"/>
    <w:pPr>
      <w:widowControl w:val="1"/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19" w:type="paragraph">
    <w:name w:val="heading 3"/>
    <w:next w:val="Style_5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Default"/>
    <w:link w:val="Style_20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0_ch" w:type="character">
    <w:name w:val="Default"/>
    <w:link w:val="Style_20"/>
    <w:rPr>
      <w:rFonts w:ascii="Times New Roman" w:hAnsi="Times New Roman"/>
      <w:color w:val="000000"/>
      <w:sz w:val="24"/>
    </w:rPr>
  </w:style>
  <w:style w:styleId="Style_13" w:type="paragraph">
    <w:name w:val="List Paragraph"/>
    <w:basedOn w:val="Style_5"/>
    <w:link w:val="Style_13_ch"/>
    <w:pPr>
      <w:widowControl w:val="1"/>
      <w:spacing w:after="120"/>
      <w:ind w:firstLine="567" w:left="720"/>
      <w:contextualSpacing w:val="1"/>
      <w:jc w:val="both"/>
    </w:pPr>
    <w:rPr>
      <w:rFonts w:ascii="Calibri" w:hAnsi="Calibri"/>
      <w:sz w:val="22"/>
    </w:rPr>
  </w:style>
  <w:style w:styleId="Style_13_ch" w:type="character">
    <w:name w:val="List Paragraph"/>
    <w:basedOn w:val="Style_5_ch"/>
    <w:link w:val="Style_13"/>
    <w:rPr>
      <w:rFonts w:ascii="Calibri" w:hAnsi="Calibri"/>
      <w:sz w:val="22"/>
    </w:rPr>
  </w:style>
  <w:style w:styleId="Style_21" w:type="paragraph">
    <w:name w:val="Balloon Text"/>
    <w:basedOn w:val="Style_5"/>
    <w:link w:val="Style_21_ch"/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22" w:type="paragraph">
    <w:name w:val="Style8"/>
    <w:basedOn w:val="Style_5"/>
    <w:link w:val="Style_22_ch"/>
  </w:style>
  <w:style w:styleId="Style_22_ch" w:type="character">
    <w:name w:val="Style8"/>
    <w:basedOn w:val="Style_5_ch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3"/>
    <w:next w:val="Style_5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14" w:type="paragraph">
    <w:name w:val="Style4"/>
    <w:basedOn w:val="Style_5"/>
    <w:link w:val="Style_14_ch"/>
    <w:pPr>
      <w:spacing w:line="259" w:lineRule="exact"/>
      <w:ind w:hanging="360" w:left="360"/>
    </w:pPr>
  </w:style>
  <w:style w:styleId="Style_14_ch" w:type="character">
    <w:name w:val="Style4"/>
    <w:basedOn w:val="Style_5_ch"/>
    <w:link w:val="Style_14"/>
  </w:style>
  <w:style w:styleId="Style_25" w:type="paragraph">
    <w:name w:val="heading 5"/>
    <w:next w:val="Style_5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next w:val="Style_5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12" w:type="paragraph">
    <w:name w:val="Font Style19"/>
    <w:link w:val="Style_12_ch"/>
    <w:rPr>
      <w:rFonts w:ascii="Times New Roman" w:hAnsi="Times New Roman"/>
      <w:sz w:val="22"/>
    </w:rPr>
  </w:style>
  <w:style w:styleId="Style_12_ch" w:type="character">
    <w:name w:val="Font Style19"/>
    <w:link w:val="Style_12"/>
    <w:rPr>
      <w:rFonts w:ascii="Times New Roman" w:hAnsi="Times New Roman"/>
      <w:sz w:val="22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5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2" w:type="paragraph">
    <w:name w:val="Font Style15"/>
    <w:link w:val="Style_2_ch"/>
    <w:rPr>
      <w:rFonts w:ascii="Times New Roman" w:hAnsi="Times New Roman"/>
      <w:b w:val="1"/>
      <w:sz w:val="22"/>
    </w:rPr>
  </w:style>
  <w:style w:styleId="Style_2_ch" w:type="character">
    <w:name w:val="Font Style15"/>
    <w:link w:val="Style_2"/>
    <w:rPr>
      <w:rFonts w:ascii="Times New Roman" w:hAnsi="Times New Roman"/>
      <w:b w:val="1"/>
      <w:sz w:val="22"/>
    </w:rPr>
  </w:style>
  <w:style w:styleId="Style_31" w:type="paragraph">
    <w:name w:val="toc 8"/>
    <w:next w:val="Style_5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11" w:type="paragraph">
    <w:name w:val="Font Style18"/>
    <w:link w:val="Style_11_ch"/>
    <w:rPr>
      <w:rFonts w:ascii="Times New Roman" w:hAnsi="Times New Roman"/>
      <w:b w:val="1"/>
      <w:sz w:val="22"/>
    </w:rPr>
  </w:style>
  <w:style w:styleId="Style_11_ch" w:type="character">
    <w:name w:val="Font Style18"/>
    <w:link w:val="Style_11"/>
    <w:rPr>
      <w:rFonts w:ascii="Times New Roman" w:hAnsi="Times New Roman"/>
      <w:b w:val="1"/>
      <w:sz w:val="22"/>
    </w:rPr>
  </w:style>
  <w:style w:styleId="Style_33" w:type="paragraph">
    <w:name w:val="b1"/>
    <w:link w:val="Style_33_ch"/>
  </w:style>
  <w:style w:styleId="Style_33_ch" w:type="character">
    <w:name w:val="b1"/>
    <w:link w:val="Style_33"/>
  </w:style>
  <w:style w:styleId="Style_34" w:type="paragraph">
    <w:name w:val="Subtitle"/>
    <w:next w:val="Style_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5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6" w:type="table">
    <w:name w:val="Table Grid"/>
    <w:basedOn w:val="Style_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2025-01-17T07:19:19Z</dcterms:modified>
</cp:coreProperties>
</file>